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Arial" w:hAnsi="Arial" w:eastAsia="黑体" w:cs="Arial"/>
          <w:b/>
          <w:sz w:val="24"/>
          <w:szCs w:val="24"/>
        </w:rPr>
      </w:pPr>
      <w:r>
        <w:rPr>
          <w:rFonts w:ascii="Arial" w:hAnsi="Arial" w:eastAsia="黑体" w:cs="Arial"/>
          <w:b/>
          <w:sz w:val="24"/>
          <w:szCs w:val="24"/>
        </w:rPr>
        <w:t>PRODUCT DATASHEET</w:t>
      </w:r>
      <w:r>
        <w:rPr>
          <w:rFonts w:hint="eastAsia" w:ascii="Arial" w:hAnsi="Arial" w:eastAsia="黑体" w:cs="Arial"/>
          <w:b/>
          <w:sz w:val="24"/>
          <w:szCs w:val="24"/>
        </w:rPr>
        <w:t xml:space="preserve"> GSP9-C40PV 600V DC 1000V DC </w:t>
      </w:r>
      <w:r>
        <w:rPr>
          <w:rFonts w:ascii="Arial" w:hAnsi="Arial" w:eastAsia="黑体" w:cs="Arial"/>
          <w:b/>
          <w:sz w:val="24"/>
          <w:szCs w:val="24"/>
        </w:rPr>
        <w:t>Surge protective device</w:t>
      </w:r>
    </w:p>
    <w:p>
      <w:pPr>
        <w:pStyle w:val="10"/>
        <w:widowControl/>
        <w:jc w:val="left"/>
        <w:rPr>
          <w:rFonts w:ascii="Arial" w:hAnsi="Arial"/>
          <w:b/>
          <w:kern w:val="0"/>
        </w:rPr>
      </w:pPr>
      <w:r>
        <w:rPr>
          <w:rFonts w:hint="eastAsia" w:ascii="Arial" w:hAnsi="Arial"/>
          <w:b/>
          <w:kern w:val="0"/>
        </w:rPr>
        <w:t>Application</w:t>
      </w:r>
    </w:p>
    <w:p>
      <w:pPr>
        <w:spacing w:line="360" w:lineRule="exact"/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  <w:t xml:space="preserve">This DC surge protective device is applied low voltage standard 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IEC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>/</w:t>
      </w:r>
      <w: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  <w:t>EN 61643-11 to protect against DC power line system and other equipment from over voltage and instantaneous over voltage damage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 xml:space="preserve">. </w:t>
      </w:r>
      <w: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  <w:t>Widely used in photovoltaic comber box, power inverter, DC distribution cabinet etc. It has advantages of large discharge current, fast respond time, low residual voltage.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 xml:space="preserve"> Max. PV voltage up to UCPV ≤1000V dc.</w:t>
      </w:r>
    </w:p>
    <w:p>
      <w:pPr>
        <w:rPr>
          <w:rFonts w:ascii="Arial" w:hAnsi="Arial" w:eastAsia="Arial Unicode MS" w:cs="Arial Unicode MS"/>
          <w:b/>
          <w:bCs/>
          <w:color w:val="000000"/>
          <w:kern w:val="0"/>
          <w:sz w:val="20"/>
          <w:szCs w:val="20"/>
          <w:u w:color="000000"/>
        </w:rPr>
      </w:pPr>
    </w:p>
    <w:p>
      <w:pPr>
        <w:rPr>
          <w:rFonts w:ascii="Arial" w:hAnsi="Arial" w:eastAsia="Arial Unicode MS" w:cs="Arial Unicode MS"/>
          <w:b/>
          <w:bCs/>
          <w:color w:val="000000"/>
          <w:kern w:val="0"/>
          <w:sz w:val="20"/>
          <w:szCs w:val="20"/>
          <w:u w:color="000000"/>
        </w:rPr>
      </w:pPr>
      <w:r>
        <w:rPr>
          <w:rFonts w:hint="eastAsia" w:ascii="Arial" w:hAnsi="Arial" w:eastAsia="Arial Unicode MS" w:cs="Arial Unicode MS"/>
          <w:b/>
          <w:bCs/>
          <w:color w:val="000000"/>
          <w:kern w:val="0"/>
          <w:sz w:val="20"/>
          <w:szCs w:val="20"/>
          <w:u w:color="000000"/>
        </w:rPr>
        <w:t>Main features</w:t>
      </w:r>
    </w:p>
    <w:p>
      <w:pP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1. High discharge capacity, quick response,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 xml:space="preserve"> 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eastAsia="zh-CN"/>
        </w:rPr>
        <w:t>plugged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 xml:space="preserve"> module.</w:t>
      </w:r>
    </w:p>
    <w:p>
      <w:pP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eastAsia="zh-CN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2. Fast response time, din rail installation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>.</w:t>
      </w:r>
    </w:p>
    <w:p>
      <w:pP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eastAsia="zh-CN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3. Double thermal disconnection devices, provide more reliable protection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>.</w:t>
      </w:r>
    </w:p>
    <w:p>
      <w:pP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eastAsia="zh-CN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4. Green window means normal, red means defect, need to change module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  <w:lang w:val="en-US" w:eastAsia="zh-CN"/>
        </w:rPr>
        <w:t>.</w:t>
      </w:r>
    </w:p>
    <w:p>
      <w:pP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5. R</w:t>
      </w:r>
      <w:r>
        <w:rPr>
          <w:rFonts w:hint="eastAsia" w:ascii="Arial" w:hAnsi="Arial"/>
          <w:kern w:val="0"/>
          <w:sz w:val="20"/>
          <w:szCs w:val="20"/>
        </w:rPr>
        <w:t xml:space="preserve">emote </w:t>
      </w:r>
      <w:r>
        <w:rPr>
          <w:rFonts w:ascii="Arial" w:hAnsi="Arial"/>
          <w:kern w:val="0"/>
          <w:sz w:val="20"/>
          <w:szCs w:val="20"/>
        </w:rPr>
        <w:t>signaling</w:t>
      </w:r>
      <w:r>
        <w:rPr>
          <w:rFonts w:hint="eastAsia" w:ascii="Arial" w:hAnsi="Arial"/>
          <w:kern w:val="0"/>
          <w:sz w:val="20"/>
          <w:szCs w:val="20"/>
        </w:rPr>
        <w:t xml:space="preserve"> contact</w:t>
      </w: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 xml:space="preserve"> optional.</w:t>
      </w:r>
    </w:p>
    <w:p>
      <w:pP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</w:pPr>
      <w:r>
        <w:rPr>
          <w:rFonts w:hint="eastAsia" w:ascii="Arial" w:hAnsi="Arial" w:eastAsia="Arial Unicode MS" w:cs="Arial Unicode MS"/>
          <w:color w:val="000000"/>
          <w:kern w:val="0"/>
          <w:sz w:val="20"/>
          <w:szCs w:val="20"/>
          <w:u w:color="000000"/>
        </w:rPr>
        <w:t>6. T1+T2 surge protection.</w:t>
      </w:r>
    </w:p>
    <w:p>
      <w:pPr>
        <w:rPr>
          <w:rFonts w:ascii="Arial" w:hAnsi="Arial" w:eastAsia="Arial Unicode MS" w:cs="Arial Unicode MS"/>
          <w:color w:val="000000"/>
          <w:kern w:val="0"/>
          <w:sz w:val="20"/>
          <w:szCs w:val="20"/>
          <w:u w:color="000000"/>
        </w:rPr>
      </w:pPr>
    </w:p>
    <w:p>
      <w:pPr>
        <w:rPr>
          <w:rFonts w:ascii="Arial" w:hAnsi="Arial"/>
          <w:b/>
          <w:bCs/>
          <w:color w:val="000000"/>
          <w:kern w:val="0"/>
          <w:szCs w:val="21"/>
          <w:u w:color="000000"/>
        </w:rPr>
      </w:pPr>
      <w: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</w:rPr>
        <w:t>T</w:t>
      </w:r>
      <w:r>
        <w:rPr>
          <w:rFonts w:ascii="Arial" w:hAnsi="Arial"/>
          <w:b/>
          <w:bCs/>
          <w:color w:val="000000"/>
          <w:kern w:val="0"/>
          <w:szCs w:val="21"/>
          <w:u w:color="000000"/>
        </w:rPr>
        <w:t xml:space="preserve">echnical </w:t>
      </w:r>
      <w:r>
        <w:rPr>
          <w:rFonts w:hint="eastAsia" w:ascii="Arial" w:hAnsi="Arial"/>
          <w:b/>
          <w:bCs/>
          <w:color w:val="000000"/>
          <w:kern w:val="0"/>
          <w:szCs w:val="21"/>
          <w:u w:color="000000"/>
        </w:rPr>
        <w:t>p</w:t>
      </w:r>
      <w:r>
        <w:rPr>
          <w:rFonts w:ascii="Arial" w:hAnsi="Arial"/>
          <w:b/>
          <w:bCs/>
          <w:color w:val="000000"/>
          <w:kern w:val="0"/>
          <w:szCs w:val="21"/>
          <w:u w:color="000000"/>
        </w:rPr>
        <w:t>arameter</w:t>
      </w:r>
    </w:p>
    <w:tbl>
      <w:tblPr>
        <w:tblStyle w:val="5"/>
        <w:tblW w:w="942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2990"/>
        <w:gridCol w:w="2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5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GSP9-C40PV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Test standard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 xml:space="preserve"> IEC/EN 61643-11;GB18802.11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SPD type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T1+T2/Class I+ II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Max. PV voltage [ Uc pv ]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00V DC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1000V DC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Nominal discharge current (8/20µs)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20kA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Maximum discharge current(8/20µs)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40kA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Iimp current (10/350µs)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6.25kA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Poles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2P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2P/3P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Voltage protection level Up pv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.6kV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3.6kV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Response time Ta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25ns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Connection wire specification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4mm2(L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N); 6mm2(PE)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  <w:lang w:val="en-US" w:eastAsia="zh-CN"/>
              </w:rPr>
              <w:t>Mounting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35mm Din Rail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</w:rPr>
              <w:t>Matched fuse or circuit breaker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bookmarkStart w:id="0" w:name="RANGE!B13"/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32A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 xml:space="preserve">Type of remote </w:t>
            </w:r>
            <w:r>
              <w:rPr>
                <w:rFonts w:ascii="Arial" w:hAnsi="Arial"/>
                <w:kern w:val="0"/>
                <w:sz w:val="18"/>
                <w:szCs w:val="18"/>
              </w:rPr>
              <w:t>signaling</w:t>
            </w:r>
            <w:r>
              <w:rPr>
                <w:rFonts w:hint="eastAsia" w:ascii="Arial" w:hAnsi="Arial"/>
                <w:kern w:val="0"/>
                <w:sz w:val="18"/>
                <w:szCs w:val="18"/>
              </w:rPr>
              <w:t xml:space="preserve"> contact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(Optional)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C+NC: Normally closed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C+NO: Normally open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  <w:t>C: Common contact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Max. Voltage/Current for remote signaling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1A/2A/3A 125V AC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Wiring for remote signaling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1.5mm2 max.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 xml:space="preserve">Operating temperature 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u w:color="000000"/>
                <w:lang w:val="en-US" w:eastAsia="zh-CN" w:bidi="ar-SA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ascii="Arial" w:hAnsi="Arial"/>
                <w:kern w:val="0"/>
                <w:sz w:val="18"/>
                <w:szCs w:val="18"/>
              </w:rPr>
              <w:t>40°C</w:t>
            </w:r>
            <w:r>
              <w:rPr>
                <w:rFonts w:hint="eastAsia" w:ascii="Arial" w:hAnsi="Arial"/>
                <w:kern w:val="0"/>
                <w:sz w:val="18"/>
                <w:szCs w:val="18"/>
                <w:lang w:val="en-US" w:eastAsia="zh-CN"/>
              </w:rPr>
              <w:t xml:space="preserve"> to </w:t>
            </w:r>
            <w:r>
              <w:rPr>
                <w:rFonts w:ascii="Arial" w:hAnsi="Arial"/>
                <w:kern w:val="0"/>
                <w:sz w:val="18"/>
                <w:szCs w:val="18"/>
              </w:rPr>
              <w:t>+80°C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Shell material</w:t>
            </w:r>
          </w:p>
        </w:tc>
        <w:tc>
          <w:tcPr>
            <w:tcW w:w="5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0"/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Arial" w:hAnsi="Arial"/>
                <w:kern w:val="0"/>
                <w:sz w:val="18"/>
                <w:szCs w:val="18"/>
              </w:rPr>
              <w:t>UL94-V0 fireproof material</w:t>
            </w:r>
          </w:p>
        </w:tc>
      </w:tr>
    </w:tbl>
    <w:p>
      <w:pPr>
        <w:rPr>
          <w:rFonts w:ascii="Arial" w:hAnsi="Arial" w:eastAsia="Arial Unicode MS" w:cs="Arial Unicode MS"/>
          <w:b/>
          <w:color w:val="000000"/>
          <w:kern w:val="0"/>
          <w:szCs w:val="21"/>
          <w:u w:color="000000"/>
        </w:rPr>
      </w:pPr>
    </w:p>
    <w:p>
      <w:pP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121920</wp:posOffset>
            </wp:positionV>
            <wp:extent cx="1793875" cy="2639695"/>
            <wp:effectExtent l="0" t="0" r="4445" b="12065"/>
            <wp:wrapNone/>
            <wp:docPr id="6" name="图片 6" descr="3P 直流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P 直流尺寸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</w:rPr>
        <w:t xml:space="preserve">Dimension details </w:t>
      </w:r>
      <w: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  <w:lang w:val="en-US" w:eastAsia="zh-CN"/>
        </w:rPr>
        <w:t>(</w:t>
      </w:r>
      <w: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</w:rPr>
        <w:t>unit: mm</w:t>
      </w:r>
      <w:r>
        <w:rPr>
          <w:rFonts w:hint="eastAsia" w:ascii="Arial" w:hAnsi="Arial" w:eastAsia="Arial Unicode MS" w:cs="Arial Unicode MS"/>
          <w:b/>
          <w:color w:val="000000"/>
          <w:kern w:val="0"/>
          <w:szCs w:val="21"/>
          <w:u w:color="000000"/>
          <w:lang w:val="en-US" w:eastAsia="zh-CN"/>
        </w:rPr>
        <w:t>)</w:t>
      </w:r>
      <w:bookmarkStart w:id="1" w:name="_GoBack"/>
      <w:bookmarkEnd w:id="1"/>
    </w:p>
    <w:p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3535680</wp:posOffset>
            </wp:positionH>
            <wp:positionV relativeFrom="paragraph">
              <wp:posOffset>38100</wp:posOffset>
            </wp:positionV>
            <wp:extent cx="1413510" cy="2575560"/>
            <wp:effectExtent l="0" t="0" r="3810" b="0"/>
            <wp:wrapNone/>
            <wp:docPr id="5" name="图片 5" descr="2P 直流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P 直流尺寸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97155</wp:posOffset>
            </wp:positionV>
            <wp:extent cx="1649095" cy="2301240"/>
            <wp:effectExtent l="0" t="0" r="12065" b="0"/>
            <wp:wrapNone/>
            <wp:docPr id="20" name="图片 19" descr="底座尺寸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 descr="底座尺寸图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1589405</wp:posOffset>
            </wp:positionH>
            <wp:positionV relativeFrom="paragraph">
              <wp:posOffset>196215</wp:posOffset>
            </wp:positionV>
            <wp:extent cx="1939290" cy="1750695"/>
            <wp:effectExtent l="19050" t="0" r="3810" b="0"/>
            <wp:wrapNone/>
            <wp:docPr id="21" name="图片 20" descr="模块尺寸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0" descr="模块尺寸图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75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eastAsia" w:eastAsiaTheme="minorEastAsia"/>
          <w:lang w:eastAsia="zh-CN"/>
        </w:rPr>
      </w:pPr>
    </w:p>
    <w:p/>
    <w:p/>
    <w:p>
      <w:pPr>
        <w:rPr>
          <w:rFonts w:hint="eastAsia" w:eastAsiaTheme="minorEastAsia"/>
          <w:lang w:eastAsia="zh-CN"/>
        </w:rPr>
      </w:pPr>
    </w:p>
    <w:p/>
    <w:p/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Installation Diagram(2P</w:t>
      </w:r>
      <w:r>
        <w:rPr>
          <w:rFonts w:hint="eastAsia" w:ascii="Arial" w:hAnsi="Arial" w:cs="Arial"/>
          <w:b/>
          <w:bCs/>
        </w:rPr>
        <w:t>&amp;3P</w:t>
      </w:r>
      <w:r>
        <w:rPr>
          <w:rFonts w:ascii="Arial" w:hAnsi="Arial" w:cs="Arial"/>
          <w:b/>
          <w:bCs/>
        </w:rPr>
        <w:t>)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174625</wp:posOffset>
            </wp:positionV>
            <wp:extent cx="2665095" cy="3086735"/>
            <wp:effectExtent l="0" t="0" r="1905" b="6985"/>
            <wp:wrapNone/>
            <wp:docPr id="10" name="图片 10" descr="3P 直流 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P 直流 接线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132080</wp:posOffset>
            </wp:positionV>
            <wp:extent cx="2658745" cy="2992120"/>
            <wp:effectExtent l="0" t="0" r="8255" b="10160"/>
            <wp:wrapNone/>
            <wp:docPr id="9" name="图片 9" descr="2P 直流 接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P 直流 接线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851" w:right="851" w:bottom="85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MGRhYjQ1ZDI1Nzg2Nzg5N2M0MGM4YmFlZDUzNTMifQ=="/>
  </w:docVars>
  <w:rsids>
    <w:rsidRoot w:val="000A124B"/>
    <w:rsid w:val="000A124B"/>
    <w:rsid w:val="00212173"/>
    <w:rsid w:val="00243E35"/>
    <w:rsid w:val="00265498"/>
    <w:rsid w:val="002F43E9"/>
    <w:rsid w:val="00325DCC"/>
    <w:rsid w:val="00500A9F"/>
    <w:rsid w:val="00510EC4"/>
    <w:rsid w:val="0055171A"/>
    <w:rsid w:val="00551DE9"/>
    <w:rsid w:val="005662EC"/>
    <w:rsid w:val="006E0ED0"/>
    <w:rsid w:val="00703262"/>
    <w:rsid w:val="007043DA"/>
    <w:rsid w:val="00797947"/>
    <w:rsid w:val="007B5491"/>
    <w:rsid w:val="007D145E"/>
    <w:rsid w:val="008376D8"/>
    <w:rsid w:val="008767F9"/>
    <w:rsid w:val="00883349"/>
    <w:rsid w:val="00886108"/>
    <w:rsid w:val="00975622"/>
    <w:rsid w:val="00A058C9"/>
    <w:rsid w:val="00A3798B"/>
    <w:rsid w:val="00A64C26"/>
    <w:rsid w:val="00A81C35"/>
    <w:rsid w:val="00B36269"/>
    <w:rsid w:val="00B74343"/>
    <w:rsid w:val="00B868F1"/>
    <w:rsid w:val="00BA48FD"/>
    <w:rsid w:val="00BF5B2E"/>
    <w:rsid w:val="00C24230"/>
    <w:rsid w:val="00C57C85"/>
    <w:rsid w:val="00D64648"/>
    <w:rsid w:val="00E472D4"/>
    <w:rsid w:val="00FD2E70"/>
    <w:rsid w:val="00FE62E5"/>
    <w:rsid w:val="00FF1571"/>
    <w:rsid w:val="06491337"/>
    <w:rsid w:val="0C6235DA"/>
    <w:rsid w:val="10A804A5"/>
    <w:rsid w:val="13D13B64"/>
    <w:rsid w:val="1E5A7E6E"/>
    <w:rsid w:val="267442D0"/>
    <w:rsid w:val="278D51F4"/>
    <w:rsid w:val="2A71285B"/>
    <w:rsid w:val="2C4B633A"/>
    <w:rsid w:val="32451F15"/>
    <w:rsid w:val="33AA60F1"/>
    <w:rsid w:val="3B5C1212"/>
    <w:rsid w:val="403C3549"/>
    <w:rsid w:val="435655E2"/>
    <w:rsid w:val="43FE2544"/>
    <w:rsid w:val="44D92A25"/>
    <w:rsid w:val="4E1340F1"/>
    <w:rsid w:val="50DA7394"/>
    <w:rsid w:val="520277AA"/>
    <w:rsid w:val="524723E6"/>
    <w:rsid w:val="5CF028B8"/>
    <w:rsid w:val="6ADD1126"/>
    <w:rsid w:val="718A26B9"/>
    <w:rsid w:val="72A9066B"/>
    <w:rsid w:val="73151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1">
    <w:name w:val="Table Normal"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11"/>
    <w:basedOn w:val="7"/>
    <w:qFormat/>
    <w:uiPriority w:val="0"/>
    <w:rPr>
      <w:rFonts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13">
    <w:name w:val="font4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1374</Characters>
  <Lines>12</Lines>
  <Paragraphs>3</Paragraphs>
  <TotalTime>1</TotalTime>
  <ScaleCrop>false</ScaleCrop>
  <LinksUpToDate>false</LinksUpToDate>
  <CharactersWithSpaces>1553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2022-07-27T05:25:00Z</dcterms:created>
  <dc:creator>微软用户</dc:creator>
  <cp:lastModifiedBy>WPS_1665451860</cp:lastModifiedBy>
  <cp:lastPrinted>2022-07-27T05:36:00Z</cp:lastPrinted>
  <dcterms:modified xsi:type="dcterms:W3CDTF">2022-12-14T07:33:36Z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3CB0826376CC49C8806F42F74443E016</vt:lpwstr>
  </property>
</Properties>
</file>